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Procedimento Operativo Padrão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Título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Descrição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Índice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Procedimento Operativo Padrão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Índice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Introdução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Objetivo do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Âmbito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Definições e Acrónimos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Responsabilidades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Procedimento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Vista Geral de Tarefas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2.2. Mapa de processo de alto nível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Passos da Tarefa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Processamento de Exceções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Materiais e Equipamento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Segurança e Conformidade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Medidas de Controlo de Qualidade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Origens adicionais de documentação de processo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Histórico de Revisões e Alterações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Introdução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Objetivo do documento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O Procedimento Operativo Padrão descreve o processo empresarial identificado pelo UiPath Task Mining para análise, otimização e documentação aprofundadas.</w:t>
      </w:r>
    </w:p>
    <w:p w:rsidR="00D9001D" w:rsidRPr="00476499" w:rsidP="00FB63FC" w14:paraId="1328B8BA" w14:textId="30D7BB20">
      <w:pPr>
        <w:pStyle w:val="NormalCentred"/>
      </w:pPr>
      <w:r w:rsidR="00932B57">
        <w:t>Este documento de especificações fornece documentação padrão para revisão por parte de analistas comerciais, analistas de processos e partes interessadas do negócio.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Âmbito</w:t>
      </w:r>
      <w:bookmarkEnd w:id="8"/>
      <w:bookmarkEnd w:id="7"/>
    </w:p>
    <w:p w:rsidR="00705ABB" w:rsidP="00705ABB" w14:paraId="3F0DEC23" w14:textId="77777777">
      <w:r w:rsidRPr="05768913">
        <w:t>Esta secção define os limites da gravação da tarefa, especificando quais os processos, as atividades e as interações do utilizador que serão capturados e analisados. Garante o alinhamento nos objetivos principais e evita a recolha de dados desnecessários.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&lt;A ser preenchido pelo utilizador&gt;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Definições e Acrónimos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Esta secção fornece uma lista de termos, definições e acrónimos principais utilizados ao longo do documento para garantir clareza e consistência. Funciona como uma referência para as partes interessadas compreenderem os termos técnicos, a linguagem específica de processos e as abreviaturas frequentemente utilizadas no Task Mining e na análise de processos.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Acrónimo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Termo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Notas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Responsabilidades</w:t>
      </w:r>
      <w:bookmarkEnd w:id="12"/>
      <w:bookmarkEnd w:id="11"/>
    </w:p>
    <w:p w:rsidR="00087319" w:rsidRPr="00087319" w:rsidP="00087319" w14:paraId="49979910" w14:textId="38844234">
      <w:r w:rsidRPr="05768913">
        <w:t>Esta secção descreve as funções e as responsabilidades das principais partes interessadas envolvidas no projeto de Task Mining. Garante a responsabilização ao definir quem é responsável por executar, rever e supervisionar diferentes aspetos do processo.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Individual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Função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Responsabilidades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Procedimento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Vista Geral de Tarefas</w:t>
      </w:r>
      <w:bookmarkEnd w:id="15"/>
      <w:bookmarkEnd w:id="14"/>
    </w:p>
    <w:p w:rsidR="00D9001D" w:rsidP="00FB63FC" w14:paraId="5E3BF144" w14:textId="12216710">
      <w:r w:rsidRPr="00087319">
        <w:t>Esta secção fornece um resumo de alto nível do processo a ser gravado e analisado. Ajuda as partes interessadas a compreender o objetivo, os passos-chave e os resultados esperados do projeto do Task Mining.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Item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Descrição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Nome de rastreio do Task 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ítulo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Ligação para o projeto do Task 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Utilizador da Gravação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Autor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Data de Criação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Data de Criação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Passos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contagem_total_ações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Duração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empo_execução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Número de aplicações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contagem_total_aplicações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2.2. Mapa de processo de alto nível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diagrama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Passos da Tarefa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Esta secção descreve as ações passo a passo necessárias para concluir a tarefa gravada. Cada passo deve ser definido de forma clara para garantir consistência, exatidão e repetibilidade.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elaDeações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Passo do Processo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Descrição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Imagem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NúmeroPassoação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.</w:t>
                </w:r>
                <w:sdt>
                  <w:sdtPr>
                    <w:alias w:val="NúmeroSubPassoação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TítuloDaAção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Descrição da Ação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imagemAção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Processamento de Exceções</w:t>
      </w:r>
      <w:bookmarkEnd w:id="20"/>
    </w:p>
    <w:p w:rsidR="007B4320" w:rsidP="00115761" w14:paraId="266147F2" w14:textId="3A19A314">
      <w:pPr>
        <w:pStyle w:val="table"/>
      </w:pPr>
      <w:r>
        <w:t>Liste todas as exceções que nota que vão precisar de processamento com base na sua compreensão do processo ponto a ponto.</w:t>
      </w:r>
    </w:p>
    <w:p w:rsidR="00C23E9A" w:rsidP="00C23E9A" w14:paraId="002BC73E" w14:textId="7EF7FD3A">
      <w:pPr>
        <w:pStyle w:val="Heading2"/>
      </w:pPr>
      <w:bookmarkStart w:id="21" w:name="_Toc256000012"/>
      <w:r>
        <w:t>2.5 Materiais e Equipamento</w:t>
      </w:r>
      <w:bookmarkEnd w:id="21"/>
    </w:p>
    <w:p w:rsidR="00C23E9A" w:rsidP="00C23E9A" w14:paraId="7B61DAB5" w14:textId="733702B3">
      <w:r w:rsidRPr="05768913">
        <w:t>Esta secção lista as ferramentas, o software e os recursos necessários para concluir a tarefa gravada com êxito. Garantir que todos os materiais necessários estejam disponíveis ajuda a otimizar a execução e impede atrasos.</w:t>
      </w:r>
    </w:p>
    <w:p w:rsidR="00C23E9A" w:rsidP="00C23E9A" w14:paraId="7DFC70F8" w14:textId="327B4FA9">
      <w:pPr>
        <w:pStyle w:val="Heading2"/>
      </w:pPr>
      <w:bookmarkStart w:id="22" w:name="_Toc256000013"/>
      <w:r>
        <w:t>2.6 Segurança e Conformidade</w:t>
      </w:r>
      <w:bookmarkEnd w:id="22"/>
    </w:p>
    <w:p w:rsidR="00C23E9A" w:rsidP="00C23E9A" w14:paraId="13B3A299" w14:textId="2A940CC0">
      <w:r w:rsidRPr="05768913">
        <w:t>Esta secção descreve quaisquer regulamentos, protocolos de segurança e boas-práticas que tenham de ser seguidos na execução da tarefa. Garantir a conformidade ajuda a mitigar riscos, manter a integridade dos dados e cumprir aos padrões da empresa e da indústria.</w:t>
      </w:r>
    </w:p>
    <w:p w:rsidR="00C23E9A" w:rsidP="00C23E9A" w14:paraId="223E2180" w14:textId="40EE4226">
      <w:pPr>
        <w:pStyle w:val="Heading2"/>
      </w:pPr>
      <w:bookmarkStart w:id="23" w:name="_Toc256000014"/>
      <w:r>
        <w:t>2.7 Medidas de Controlo de Qualidade</w:t>
      </w:r>
      <w:bookmarkEnd w:id="23"/>
    </w:p>
    <w:p w:rsidR="00C23E9A" w:rsidRPr="00C23E9A" w:rsidP="00C23E9A" w14:paraId="1302D12A" w14:textId="5C89255E">
      <w:r w:rsidRPr="05768913">
        <w:t>Esta secção define os padrões, as verificações de validação e os controlos implementados para garantir que a tarefa é executada de forma precisa e consistente. Ajuda a evitar erros, manter a integridade dos processos e garantir resultados de alta qualidade.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Origens adicionais de documentação de processo</w:t>
      </w:r>
      <w:bookmarkEnd w:id="24"/>
    </w:p>
    <w:p w:rsidR="00C23E9A" w:rsidP="00C23E9A" w14:paraId="08ED677B" w14:textId="3A5A3AFE">
      <w:r w:rsidRPr="05768913">
        <w:t>Se existir material adicional criado para suporte do procedimento operativo padrão, indique-o aqui, juntamente com a documentação de suporte fornecida.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Documentação de processo adicional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Gravação de vídeo do processo (opcional)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ACME-Sistema1-Processo-WI5-Manual-Instruções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Inserir quaisquer comentários relevantes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Biblioteca de regras empresariais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Inserir ligação para a biblioteca de regras empresariais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Inserir quaisquer comentários relevantes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Outra documentação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Insira uma ligação para qualquer outra documentação de processo relevante (descrição de processos L4, L5, ficheiros de mapeamento de campos, etc.)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Inserir quaisquer comentários relevantes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*Adicione mais linhas à tabela para refletir a documentação completa fornecida para suporte do processo de RPA.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Histórico de Revisões e Alterações</w:t>
      </w:r>
      <w:bookmarkEnd w:id="25"/>
    </w:p>
    <w:p w:rsidR="00C23E9A" w:rsidP="00C23E9A" w14:paraId="3DF8C197" w14:textId="05E19478">
      <w:r>
        <w:t>Um registo das alterações efetuadas ao SOP, incluindo datas e descrições de revisões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Data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Utilizador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Revisão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val="pt-PT" w:eastAsia="en-US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