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표준 운영 절차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제목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설명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목차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표준 운영 절차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목차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소개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문서의 목적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범위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정의 및 머리글자어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책임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절차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태스크 개요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 상위 수준 프로세스 맵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태스크 단계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예외 처리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자재 및 장비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안전 및 규정 준수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품질 관리 조치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프로세스 문서의 추가 소스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검토 및 수정 기록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소개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문서의 목적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표준 운영 절차에는 추가 분석, 최적화 및 문서화를 위해 UiPath Task Mining에서 식별한 비즈니스 프로세스가 개략적으로 설명되어 있습니다.</w:t>
      </w:r>
    </w:p>
    <w:p w:rsidR="00D9001D" w:rsidRPr="00476499" w:rsidP="00FB63FC" w14:paraId="1328B8BA" w14:textId="30D7BB20">
      <w:pPr>
        <w:pStyle w:val="NormalCentred"/>
      </w:pPr>
      <w:r w:rsidR="00932B57">
        <w:t>이 사양 문서는 비즈니스 분석가, 프로세스 분석가 및 비즈니스 이해관계자가 검토할 수 있도록 표준 문서를 제공합니다.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범위</w:t>
      </w:r>
      <w:bookmarkEnd w:id="8"/>
      <w:bookmarkEnd w:id="7"/>
    </w:p>
    <w:p w:rsidR="00705ABB" w:rsidP="00705ABB" w14:paraId="3F0DEC23" w14:textId="77777777">
      <w:r w:rsidRPr="05768913">
        <w:t>이 섹션에서는 태스크 기록의 경계를 정의하고, 어떤 프로세스, 액티비티 및 사용자 상호 작용을 포착하고 분석할 지를 지정합니다. 주요 목표에 부합하도록 보장하고 불필요한 데이터 수집을 방지합니다.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&lt;사용자가 작성해야 할 부분&gt;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정의 및 머리글자어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이 섹션에서는 명확성과 일관성을 보장하기 위해 문서 전체에서 사용되는 주요 용어, 정의 및 머리글자어 목록을 제공합니다. 이해관계자가 Task Mining 및 프로세스 분석에서 일반적으로 사용되는 기술 용어, 프로세스별 언어 및 약어를 이해하는 데 참고 자료로 활용됩니다.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머리글자어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용어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참고 사항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책임</w:t>
      </w:r>
      <w:bookmarkEnd w:id="12"/>
      <w:bookmarkEnd w:id="11"/>
    </w:p>
    <w:p w:rsidR="00087319" w:rsidRPr="00087319" w:rsidP="00087319" w14:paraId="49979910" w14:textId="38844234">
      <w:r w:rsidRPr="05768913">
        <w:t>이 섹션에서는 Task Mining 프로젝트에 참여하는 주요 이해관계자의 역할과 책임을 개략적으로 설명합니다. 프로세스의 다양한 측면을 실행, 검토 및 감독할 책임이 있는 사람을 정의하여 책임성을 보장합니다.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개별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Role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책임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절차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태스크 개요</w:t>
      </w:r>
      <w:bookmarkEnd w:id="15"/>
      <w:bookmarkEnd w:id="14"/>
    </w:p>
    <w:p w:rsidR="00D9001D" w:rsidP="00FB63FC" w14:paraId="5E3BF144" w14:textId="12216710">
      <w:r w:rsidRPr="00087319">
        <w:t>이 섹션에서는 기록 및 분석 중인 프로세스에 대한 상위 수준의 요약을 제공합니다. 이는 이해관계자가 Task Mining 프로젝트의 목적, 주요 단계 및 예상 결과를 이해하는 데 도움이 됩니다.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설명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Task Mining 추적 이름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제목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Task Mining 프로젝트에 연결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기록 사용자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작성자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만든 날짜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만든 날짜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단계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기간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애플리케이션 수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 상위 수준 프로세스 맵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다이어그램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태스크 단계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이 섹션에서는 기록된 태스크를 완료하는 데 필요한 단계별 액션을 개략적으로 설명합니다. 일관성, 정확도 및 반복 가능성을 보장하려면 각 단계를 명확하게 정의해야 합니다.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액션 테이블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프로세스 단계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설명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이미지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액션 단계 번호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액션 하위 단계 번호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액션 제목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액션 설명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actionImage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예외 처리</w:t>
      </w:r>
      <w:bookmarkEnd w:id="20"/>
    </w:p>
    <w:p w:rsidR="007B4320" w:rsidP="00115761" w14:paraId="266147F2" w14:textId="3A19A314">
      <w:pPr>
        <w:pStyle w:val="table"/>
      </w:pPr>
      <w:r>
        <w:t>엔드투엔드 프로세스에 대한 이해도를 바탕으로 처리해야 할 예외 사항을 나열합니다.</w:t>
      </w:r>
    </w:p>
    <w:p w:rsidR="00C23E9A" w:rsidP="00C23E9A" w14:paraId="002BC73E" w14:textId="7EF7FD3A">
      <w:pPr>
        <w:pStyle w:val="Heading2"/>
      </w:pPr>
      <w:bookmarkStart w:id="21" w:name="_Toc256000012"/>
      <w:r>
        <w:t>2.5 자재 및 장비</w:t>
      </w:r>
      <w:bookmarkEnd w:id="21"/>
    </w:p>
    <w:p w:rsidR="00C23E9A" w:rsidP="00C23E9A" w14:paraId="7B61DAB5" w14:textId="733702B3">
      <w:r w:rsidRPr="05768913">
        <w:t>이 섹션에는 기록된 태스크를 성공적으로 완료하는 데 필요한 필수 도구, 소프트웨어 및 리소스가 나열되어 있습니다. 필요한 모든 자료가 준비되었는지 확인하는 것은 작업 진행을 원활하게 하고 지연을 방지하는 데 도움이 됩니다.</w:t>
      </w:r>
    </w:p>
    <w:p w:rsidR="00C23E9A" w:rsidP="00C23E9A" w14:paraId="7DFC70F8" w14:textId="327B4FA9">
      <w:pPr>
        <w:pStyle w:val="Heading2"/>
      </w:pPr>
      <w:bookmarkStart w:id="22" w:name="_Toc256000013"/>
      <w:r>
        <w:t>2.6 안전 및 규정 준수</w:t>
      </w:r>
      <w:bookmarkEnd w:id="22"/>
    </w:p>
    <w:p w:rsidR="00C23E9A" w:rsidP="00C23E9A" w14:paraId="13B3A299" w14:textId="2A940CC0">
      <w:r w:rsidRPr="05768913">
        <w:t>이 섹션에서는 태스크를 수행하는 동안 따라야 하는 규정, 보안 프로토콜 및 모범 사례에 대해 간략하게 설명합니다. 규정 준수를 보장하는 것은 위험을 완화하고, 데이터 무결성을 유지하며, 회사 및 산업 표준을 준수하는 데 도움이 됩니다.</w:t>
      </w:r>
    </w:p>
    <w:p w:rsidR="00C23E9A" w:rsidP="00C23E9A" w14:paraId="223E2180" w14:textId="40EE4226">
      <w:pPr>
        <w:pStyle w:val="Heading2"/>
      </w:pPr>
      <w:bookmarkStart w:id="23" w:name="_Toc256000014"/>
      <w:r>
        <w:t>2.7 품질 관리 조치</w:t>
      </w:r>
      <w:bookmarkEnd w:id="23"/>
    </w:p>
    <w:p w:rsidR="00C23E9A" w:rsidRPr="00C23E9A" w:rsidP="00C23E9A" w14:paraId="1302D12A" w14:textId="5C89255E">
      <w:r w:rsidRPr="05768913">
        <w:t>이 섹션에서는 태스크가 정확하고 일관되게 실행되도록 보장하기 위해 적용되는 표준, 유효성 검사 및 컨트롤을 정의합니다. 이는 오류를 방지하고, 프로세스의 무결성을 유지하며, 고품질 결과를 보장하는 데 도움이 됩니다.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프로세스 문서의 추가 소스</w:t>
      </w:r>
      <w:bookmarkEnd w:id="24"/>
    </w:p>
    <w:p w:rsidR="00C23E9A" w:rsidP="00C23E9A" w14:paraId="08ED677B" w14:textId="3A5A3AFE">
      <w:r w:rsidRPr="05768913">
        <w:t>표준 운영 절차를 지원하기 위해 추가로 생성된 자료가 있는 경우 제공된 지원 문서와 함께 여기에 기재하십시오.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추가 프로세스 문서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프로세스 비디오 기록(옵션)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관련 주석 삽입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비즈니스 규칙 라이브러리</w:t>
              <w:br/>
              <w:t>(옵션)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비즈니스 규칙 라이브러리에 대한 링크 삽입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관련 주석 삽입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기타 문서</w:t>
              <w:br/>
              <w:t>(옵션)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기타 관련 프로세스 문서(L4, L5 프로세스 설명, 필드 매핑 파일 등)에 대한 링크 삽입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관련 주석 삽입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*RPA 프로세스를 지원하기 위해 제공된 전체 문서를 반영하려면 테이블에 더 많은 행을 추가하십시오.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검토 및 수정 기록</w:t>
      </w:r>
      <w:bookmarkEnd w:id="25"/>
    </w:p>
    <w:p w:rsidR="00C23E9A" w:rsidP="00C23E9A" w14:paraId="3DF8C197" w14:textId="05E19478">
      <w:r>
        <w:t>날짜 및 개정 내용 설명을 포함한 SOP에 대한 변경 사항 로그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날짜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사용자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수정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en-US" w:eastAsia="ko-KR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